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F61C5" w14:textId="77777777" w:rsidR="000B0073" w:rsidRDefault="00AB6F31" w:rsidP="00AB6F31">
      <w:pPr>
        <w:pStyle w:val="Heading1"/>
        <w:spacing w:after="240"/>
      </w:pPr>
      <w:r>
        <w:t>Appendix: Johne’s Disease management (For producers participating in J-BAS)</w:t>
      </w:r>
    </w:p>
    <w:tbl>
      <w:tblPr>
        <w:tblStyle w:val="TableGrid"/>
        <w:tblW w:w="15388" w:type="dxa"/>
        <w:tblBorders>
          <w:top w:val="single" w:sz="4" w:space="0" w:color="46515B" w:themeColor="accent1"/>
          <w:left w:val="single" w:sz="4" w:space="0" w:color="46515B" w:themeColor="accent1"/>
          <w:bottom w:val="single" w:sz="4" w:space="0" w:color="46515B" w:themeColor="accent1"/>
          <w:right w:val="single" w:sz="4" w:space="0" w:color="46515B" w:themeColor="accent1"/>
          <w:insideH w:val="single" w:sz="4" w:space="0" w:color="46515B" w:themeColor="accent1"/>
          <w:insideV w:val="single" w:sz="4" w:space="0" w:color="46515B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3686"/>
        <w:gridCol w:w="4528"/>
        <w:gridCol w:w="774"/>
        <w:gridCol w:w="923"/>
        <w:gridCol w:w="946"/>
      </w:tblGrid>
      <w:tr w:rsidR="00C75750" w14:paraId="78DF61CC" w14:textId="77777777" w:rsidTr="00C75750">
        <w:trPr>
          <w:trHeight w:val="567"/>
          <w:tblHeader/>
        </w:trPr>
        <w:tc>
          <w:tcPr>
            <w:tcW w:w="4531" w:type="dxa"/>
            <w:shd w:val="clear" w:color="auto" w:fill="46515B" w:themeFill="accent1"/>
            <w:vAlign w:val="center"/>
          </w:tcPr>
          <w:p w14:paraId="78DF61C6" w14:textId="11279EAD" w:rsidR="00C75750" w:rsidRPr="00AB6F31" w:rsidRDefault="004D7308" w:rsidP="00AB6F31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PRACTICES</w:t>
            </w:r>
          </w:p>
        </w:tc>
        <w:tc>
          <w:tcPr>
            <w:tcW w:w="3686" w:type="dxa"/>
            <w:shd w:val="clear" w:color="auto" w:fill="46515B" w:themeFill="accent1"/>
            <w:vAlign w:val="center"/>
          </w:tcPr>
          <w:p w14:paraId="78DF61C7" w14:textId="4F37BD97" w:rsidR="00C75750" w:rsidRPr="00AB6F31" w:rsidRDefault="004D7308" w:rsidP="00C75750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REFERENCE DOCUMENTS</w:t>
            </w:r>
          </w:p>
        </w:tc>
        <w:tc>
          <w:tcPr>
            <w:tcW w:w="4528" w:type="dxa"/>
            <w:shd w:val="clear" w:color="auto" w:fill="46515B" w:themeFill="accent1"/>
            <w:vAlign w:val="center"/>
          </w:tcPr>
          <w:p w14:paraId="78DF61C8" w14:textId="168A5FD0" w:rsidR="00C75750" w:rsidRDefault="004D7308" w:rsidP="00AB6F3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PROCEDURES</w:t>
            </w:r>
          </w:p>
        </w:tc>
        <w:tc>
          <w:tcPr>
            <w:tcW w:w="774" w:type="dxa"/>
            <w:shd w:val="clear" w:color="auto" w:fill="46515B" w:themeFill="accent1"/>
            <w:vAlign w:val="center"/>
          </w:tcPr>
          <w:p w14:paraId="78DF61C9" w14:textId="3CD69DA7" w:rsidR="00C75750" w:rsidRPr="00AB6F31" w:rsidRDefault="004D7308" w:rsidP="00AB6F3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923" w:type="dxa"/>
            <w:shd w:val="clear" w:color="auto" w:fill="46515B" w:themeFill="accent1"/>
            <w:vAlign w:val="center"/>
          </w:tcPr>
          <w:p w14:paraId="78DF61CA" w14:textId="70F18D5F" w:rsidR="00C75750" w:rsidRPr="00AB6F31" w:rsidRDefault="004D7308" w:rsidP="00AB6F3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946" w:type="dxa"/>
            <w:shd w:val="clear" w:color="auto" w:fill="46515B" w:themeFill="accent1"/>
            <w:vAlign w:val="center"/>
          </w:tcPr>
          <w:p w14:paraId="78DF61CB" w14:textId="3046523D" w:rsidR="00C75750" w:rsidRPr="00AB6F31" w:rsidRDefault="004D7308" w:rsidP="00AB6F31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N/A</w:t>
            </w:r>
          </w:p>
        </w:tc>
      </w:tr>
      <w:tr w:rsidR="00C75750" w14:paraId="78DF61D7" w14:textId="77777777" w:rsidTr="0068548C">
        <w:trPr>
          <w:trHeight w:val="454"/>
        </w:trPr>
        <w:tc>
          <w:tcPr>
            <w:tcW w:w="4531" w:type="dxa"/>
            <w:vAlign w:val="center"/>
          </w:tcPr>
          <w:p w14:paraId="78DF61CD" w14:textId="77777777" w:rsidR="00C75750" w:rsidRPr="004D7308" w:rsidRDefault="00C75750" w:rsidP="0068548C">
            <w:pPr>
              <w:pStyle w:val="TableParagraph"/>
              <w:rPr>
                <w:sz w:val="20"/>
                <w:szCs w:val="20"/>
              </w:rPr>
            </w:pPr>
            <w:r w:rsidRPr="004D7308">
              <w:rPr>
                <w:sz w:val="20"/>
                <w:szCs w:val="20"/>
              </w:rPr>
              <w:t>Do you know the Johne’s disease (JD) status and level of risk of the livestock being introduced?</w:t>
            </w:r>
          </w:p>
        </w:tc>
        <w:tc>
          <w:tcPr>
            <w:tcW w:w="3686" w:type="dxa"/>
            <w:vAlign w:val="center"/>
          </w:tcPr>
          <w:p w14:paraId="78DF61CE" w14:textId="77777777" w:rsidR="00C75750" w:rsidRPr="004D7308" w:rsidRDefault="002D28C9" w:rsidP="0068548C">
            <w:pPr>
              <w:pStyle w:val="ListParagraph"/>
              <w:rPr>
                <w:sz w:val="20"/>
              </w:rPr>
            </w:pPr>
            <w:hyperlink r:id="rId11">
              <w:r w:rsidR="00C75750" w:rsidRPr="004D7308">
                <w:rPr>
                  <w:sz w:val="20"/>
                  <w:u w:color="0562C1"/>
                </w:rPr>
                <w:t>J-BAS Chart</w:t>
              </w:r>
            </w:hyperlink>
          </w:p>
          <w:p w14:paraId="78DF61CF" w14:textId="77777777" w:rsidR="00C75750" w:rsidRPr="004D7308" w:rsidRDefault="002D28C9" w:rsidP="0068548C">
            <w:pPr>
              <w:pStyle w:val="ListParagraph"/>
              <w:rPr>
                <w:sz w:val="20"/>
              </w:rPr>
            </w:pPr>
            <w:hyperlink r:id="rId12">
              <w:r w:rsidR="00C75750" w:rsidRPr="004D7308">
                <w:rPr>
                  <w:sz w:val="20"/>
                  <w:u w:color="0562C1"/>
                </w:rPr>
                <w:t>Johne’s disease Biosecurity</w:t>
              </w:r>
            </w:hyperlink>
          </w:p>
          <w:p w14:paraId="78DF61D0" w14:textId="77777777" w:rsidR="00C75750" w:rsidRPr="004D7308" w:rsidRDefault="002D28C9" w:rsidP="0068548C">
            <w:pPr>
              <w:pStyle w:val="ListParagraph"/>
              <w:rPr>
                <w:sz w:val="20"/>
              </w:rPr>
            </w:pPr>
            <w:hyperlink r:id="rId13">
              <w:r w:rsidR="00C75750" w:rsidRPr="004D7308">
                <w:rPr>
                  <w:sz w:val="20"/>
                  <w:u w:color="0562C1"/>
                </w:rPr>
                <w:t>Checklist</w:t>
              </w:r>
            </w:hyperlink>
          </w:p>
        </w:tc>
        <w:tc>
          <w:tcPr>
            <w:tcW w:w="4528" w:type="dxa"/>
            <w:vAlign w:val="center"/>
          </w:tcPr>
          <w:p w14:paraId="78DF61D1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Ask relevant questions on the JD in cattle checklist.</w:t>
            </w:r>
          </w:p>
          <w:p w14:paraId="78DF61D2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Request Cattle Health Declarations from sellers and retain for seven years.</w:t>
            </w:r>
          </w:p>
          <w:p w14:paraId="78DF61D3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Record JD status of introductions and how risk is addressed.</w:t>
            </w:r>
          </w:p>
        </w:tc>
        <w:sdt>
          <w:sdtPr>
            <w:rPr>
              <w:color w:val="46515B" w:themeColor="accent1"/>
              <w:sz w:val="40"/>
              <w:szCs w:val="64"/>
            </w:rPr>
            <w:id w:val="-192217918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74" w:type="dxa"/>
                <w:vAlign w:val="center"/>
              </w:tcPr>
              <w:p w14:paraId="78DF61D4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100417399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23" w:type="dxa"/>
                <w:vAlign w:val="center"/>
              </w:tcPr>
              <w:p w14:paraId="78DF61D5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165097074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8DF61D6" w14:textId="77777777" w:rsidR="00C75750" w:rsidRPr="00AB6F31" w:rsidRDefault="00C75750" w:rsidP="00C75750">
                <w:pPr>
                  <w:jc w:val="center"/>
                  <w:rPr>
                    <w:color w:val="46515B" w:themeColor="accent1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</w:tr>
      <w:tr w:rsidR="00C75750" w14:paraId="78DF61DE" w14:textId="77777777" w:rsidTr="0068548C">
        <w:trPr>
          <w:trHeight w:val="454"/>
        </w:trPr>
        <w:tc>
          <w:tcPr>
            <w:tcW w:w="4531" w:type="dxa"/>
            <w:vAlign w:val="center"/>
          </w:tcPr>
          <w:p w14:paraId="78DF61D8" w14:textId="77777777" w:rsidR="00C75750" w:rsidRPr="004D7308" w:rsidRDefault="00C75750" w:rsidP="0068548C">
            <w:pPr>
              <w:pStyle w:val="TableParagraph"/>
              <w:rPr>
                <w:sz w:val="20"/>
                <w:szCs w:val="20"/>
              </w:rPr>
            </w:pPr>
            <w:r w:rsidRPr="004D7308">
              <w:rPr>
                <w:sz w:val="20"/>
                <w:szCs w:val="20"/>
              </w:rPr>
              <w:t>Are all suspect clinical cases investigated and notified to state department as required?</w:t>
            </w:r>
          </w:p>
        </w:tc>
        <w:tc>
          <w:tcPr>
            <w:tcW w:w="3686" w:type="dxa"/>
            <w:vAlign w:val="center"/>
          </w:tcPr>
          <w:p w14:paraId="78DF61D9" w14:textId="77777777" w:rsidR="00C75750" w:rsidRPr="004D7308" w:rsidRDefault="002D28C9" w:rsidP="0068548C">
            <w:pPr>
              <w:pStyle w:val="ListParagraph"/>
              <w:rPr>
                <w:sz w:val="20"/>
              </w:rPr>
            </w:pPr>
            <w:hyperlink r:id="rId14">
              <w:r w:rsidR="00C75750" w:rsidRPr="004D7308">
                <w:rPr>
                  <w:sz w:val="20"/>
                </w:rPr>
                <w:t>Treatment Records</w:t>
              </w:r>
            </w:hyperlink>
          </w:p>
        </w:tc>
        <w:tc>
          <w:tcPr>
            <w:tcW w:w="4528" w:type="dxa"/>
            <w:vAlign w:val="center"/>
          </w:tcPr>
          <w:p w14:paraId="78DF61DA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Veterinary investigation of suspect cases. Report clinical cases as per state legislation.</w:t>
            </w:r>
          </w:p>
        </w:tc>
        <w:sdt>
          <w:sdtPr>
            <w:rPr>
              <w:color w:val="46515B" w:themeColor="accent1"/>
              <w:sz w:val="40"/>
              <w:szCs w:val="64"/>
            </w:rPr>
            <w:id w:val="167599075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74" w:type="dxa"/>
                <w:vAlign w:val="center"/>
              </w:tcPr>
              <w:p w14:paraId="78DF61DB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212337251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23" w:type="dxa"/>
                <w:vAlign w:val="center"/>
              </w:tcPr>
              <w:p w14:paraId="78DF61DC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108660646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8DF61DD" w14:textId="77777777" w:rsidR="00C75750" w:rsidRPr="00AB6F31" w:rsidRDefault="00C75750" w:rsidP="00C75750">
                <w:pPr>
                  <w:jc w:val="center"/>
                  <w:rPr>
                    <w:color w:val="46515B" w:themeColor="accent1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</w:tr>
      <w:tr w:rsidR="00C75750" w14:paraId="78DF61E6" w14:textId="77777777" w:rsidTr="0068548C">
        <w:trPr>
          <w:trHeight w:val="454"/>
        </w:trPr>
        <w:tc>
          <w:tcPr>
            <w:tcW w:w="4531" w:type="dxa"/>
            <w:vAlign w:val="center"/>
          </w:tcPr>
          <w:p w14:paraId="78DF61DF" w14:textId="77777777" w:rsidR="00C75750" w:rsidRPr="004D7308" w:rsidRDefault="00C75750" w:rsidP="0068548C">
            <w:pPr>
              <w:pStyle w:val="TableParagraph"/>
              <w:rPr>
                <w:sz w:val="20"/>
                <w:szCs w:val="20"/>
              </w:rPr>
            </w:pPr>
            <w:r w:rsidRPr="004D7308">
              <w:rPr>
                <w:sz w:val="20"/>
                <w:szCs w:val="20"/>
              </w:rPr>
              <w:t>If there is JD on the property, is the potential exposure minimised to limit the</w:t>
            </w:r>
            <w:r w:rsidRPr="004D7308">
              <w:rPr>
                <w:spacing w:val="-5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spread</w:t>
            </w:r>
            <w:r w:rsidRPr="004D7308">
              <w:rPr>
                <w:spacing w:val="-5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of</w:t>
            </w:r>
            <w:r w:rsidRPr="004D7308">
              <w:rPr>
                <w:spacing w:val="-6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infection</w:t>
            </w:r>
            <w:r w:rsidRPr="004D7308">
              <w:rPr>
                <w:spacing w:val="-5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(or</w:t>
            </w:r>
            <w:r w:rsidRPr="004D7308">
              <w:rPr>
                <w:spacing w:val="-5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risk</w:t>
            </w:r>
            <w:r w:rsidRPr="004D7308">
              <w:rPr>
                <w:spacing w:val="-5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of</w:t>
            </w:r>
            <w:r w:rsidRPr="004D7308">
              <w:rPr>
                <w:spacing w:val="-6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infection)</w:t>
            </w:r>
            <w:r w:rsidRPr="004D7308">
              <w:rPr>
                <w:spacing w:val="-6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through the</w:t>
            </w:r>
            <w:r w:rsidRPr="004D7308">
              <w:rPr>
                <w:spacing w:val="-5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culling of</w:t>
            </w:r>
            <w:r w:rsidRPr="004D7308">
              <w:rPr>
                <w:spacing w:val="-6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infected livestock, grazing management and vaccination, as</w:t>
            </w:r>
            <w:r w:rsidRPr="004D7308">
              <w:rPr>
                <w:spacing w:val="-28"/>
                <w:sz w:val="20"/>
                <w:szCs w:val="20"/>
              </w:rPr>
              <w:t xml:space="preserve"> </w:t>
            </w:r>
            <w:r w:rsidRPr="004D7308">
              <w:rPr>
                <w:sz w:val="20"/>
                <w:szCs w:val="20"/>
              </w:rPr>
              <w:t>appropriate?</w:t>
            </w:r>
          </w:p>
        </w:tc>
        <w:tc>
          <w:tcPr>
            <w:tcW w:w="3686" w:type="dxa"/>
            <w:vAlign w:val="center"/>
          </w:tcPr>
          <w:p w14:paraId="78DF61E0" w14:textId="77777777" w:rsidR="00C75750" w:rsidRPr="004D7308" w:rsidRDefault="002D28C9" w:rsidP="0068548C">
            <w:pPr>
              <w:pStyle w:val="ListParagraph"/>
              <w:rPr>
                <w:sz w:val="20"/>
              </w:rPr>
            </w:pPr>
            <w:hyperlink r:id="rId15">
              <w:r w:rsidR="00C75750" w:rsidRPr="004D7308">
                <w:rPr>
                  <w:sz w:val="20"/>
                  <w:u w:color="0562C1"/>
                </w:rPr>
                <w:t>JD in cattle tools</w:t>
              </w:r>
            </w:hyperlink>
          </w:p>
        </w:tc>
        <w:tc>
          <w:tcPr>
            <w:tcW w:w="4528" w:type="dxa"/>
            <w:vAlign w:val="center"/>
          </w:tcPr>
          <w:p w14:paraId="78DF61E1" w14:textId="592C31FF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If JD on property, work with veterinarian to prioritise high risk animals for culling including clinical cases, suspect clinical cases, dam, test-positive animals, animals originated from high-risk sources, etc.</w:t>
            </w:r>
          </w:p>
          <w:p w14:paraId="78DF61E2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Don’t graze young animals in high risk areas (e.g., adjacent to high-risk neighbours with infected sheep, land grazed by clinical or suspect cases).</w:t>
            </w:r>
          </w:p>
        </w:tc>
        <w:sdt>
          <w:sdtPr>
            <w:rPr>
              <w:color w:val="46515B" w:themeColor="accent1"/>
              <w:sz w:val="40"/>
              <w:szCs w:val="64"/>
            </w:rPr>
            <w:id w:val="127613763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74" w:type="dxa"/>
                <w:vAlign w:val="center"/>
              </w:tcPr>
              <w:p w14:paraId="78DF61E3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33072086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23" w:type="dxa"/>
                <w:vAlign w:val="center"/>
              </w:tcPr>
              <w:p w14:paraId="78DF61E4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195924919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8DF61E5" w14:textId="77777777" w:rsidR="00C75750" w:rsidRPr="00AB6F31" w:rsidRDefault="00C75750" w:rsidP="00C75750">
                <w:pPr>
                  <w:jc w:val="center"/>
                  <w:rPr>
                    <w:color w:val="46515B" w:themeColor="accent1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</w:tr>
      <w:tr w:rsidR="00C75750" w14:paraId="78DF61EE" w14:textId="77777777" w:rsidTr="0068548C">
        <w:trPr>
          <w:trHeight w:val="1361"/>
        </w:trPr>
        <w:tc>
          <w:tcPr>
            <w:tcW w:w="4531" w:type="dxa"/>
            <w:vAlign w:val="center"/>
          </w:tcPr>
          <w:p w14:paraId="78DF61E7" w14:textId="77777777" w:rsidR="00C75750" w:rsidRPr="004D7308" w:rsidRDefault="00C75750" w:rsidP="0068548C">
            <w:pPr>
              <w:pStyle w:val="TableParagraph"/>
              <w:rPr>
                <w:sz w:val="20"/>
                <w:szCs w:val="20"/>
              </w:rPr>
            </w:pPr>
            <w:r w:rsidRPr="004D7308">
              <w:rPr>
                <w:sz w:val="20"/>
                <w:szCs w:val="20"/>
              </w:rPr>
              <w:t>If there are other JD susceptible ruminants on the property (e.g. sheep, goats or alpaca), do you</w:t>
            </w:r>
            <w:bookmarkStart w:id="0" w:name="_GoBack"/>
            <w:bookmarkEnd w:id="0"/>
            <w:r w:rsidRPr="004D7308">
              <w:rPr>
                <w:sz w:val="20"/>
                <w:szCs w:val="20"/>
              </w:rPr>
              <w:t xml:space="preserve"> prevent them from co-grazing with cattle, and/or have practices (e.g. testing and vaccination) in place to minimise JD risk?</w:t>
            </w:r>
          </w:p>
        </w:tc>
        <w:tc>
          <w:tcPr>
            <w:tcW w:w="3686" w:type="dxa"/>
            <w:vAlign w:val="center"/>
          </w:tcPr>
          <w:p w14:paraId="78DF61E8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Grazing/Paddock Records</w:t>
            </w:r>
          </w:p>
        </w:tc>
        <w:tc>
          <w:tcPr>
            <w:tcW w:w="4528" w:type="dxa"/>
            <w:vAlign w:val="center"/>
          </w:tcPr>
          <w:p w14:paraId="78DF61E9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Determine the JD status of other species on the property and, if infected or of unknown JD status, prevent them from co- grazing with cattle.</w:t>
            </w:r>
          </w:p>
          <w:p w14:paraId="78DF61EA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Vaccinate sheep and goats if appropriate.</w:t>
            </w:r>
          </w:p>
        </w:tc>
        <w:sdt>
          <w:sdtPr>
            <w:rPr>
              <w:color w:val="46515B" w:themeColor="accent1"/>
              <w:sz w:val="40"/>
              <w:szCs w:val="64"/>
            </w:rPr>
            <w:id w:val="152228126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74" w:type="dxa"/>
                <w:vAlign w:val="center"/>
              </w:tcPr>
              <w:p w14:paraId="78DF61EB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123293023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23" w:type="dxa"/>
                <w:vAlign w:val="center"/>
              </w:tcPr>
              <w:p w14:paraId="78DF61EC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109870686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8DF61ED" w14:textId="77777777" w:rsidR="00C75750" w:rsidRPr="00AB6F31" w:rsidRDefault="00C75750" w:rsidP="00C75750">
                <w:pPr>
                  <w:jc w:val="center"/>
                  <w:rPr>
                    <w:color w:val="46515B" w:themeColor="accent1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</w:tr>
      <w:tr w:rsidR="00C75750" w14:paraId="78DF61F6" w14:textId="77777777" w:rsidTr="0068548C">
        <w:trPr>
          <w:trHeight w:val="454"/>
        </w:trPr>
        <w:tc>
          <w:tcPr>
            <w:tcW w:w="4531" w:type="dxa"/>
            <w:vAlign w:val="center"/>
          </w:tcPr>
          <w:p w14:paraId="78DF61EF" w14:textId="0950345C" w:rsidR="00C75750" w:rsidRPr="004D7308" w:rsidRDefault="00C75750" w:rsidP="004D7308">
            <w:pPr>
              <w:pStyle w:val="TableParagraph"/>
              <w:rPr>
                <w:sz w:val="20"/>
                <w:szCs w:val="20"/>
              </w:rPr>
            </w:pPr>
            <w:r w:rsidRPr="004D7308">
              <w:rPr>
                <w:sz w:val="20"/>
                <w:szCs w:val="20"/>
              </w:rPr>
              <w:t>If JD infection is detected, are risks within the herd assessed and people who have previously received cattle notified to enable them to manage their revised risk?</w:t>
            </w:r>
          </w:p>
        </w:tc>
        <w:tc>
          <w:tcPr>
            <w:tcW w:w="3686" w:type="dxa"/>
            <w:vAlign w:val="center"/>
          </w:tcPr>
          <w:p w14:paraId="78DF61F0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 xml:space="preserve">Sales records </w:t>
            </w:r>
            <w:hyperlink r:id="rId16">
              <w:r w:rsidRPr="004D7308">
                <w:rPr>
                  <w:sz w:val="20"/>
                  <w:u w:color="094AB4"/>
                </w:rPr>
                <w:t>AHDs</w:t>
              </w:r>
            </w:hyperlink>
          </w:p>
        </w:tc>
        <w:tc>
          <w:tcPr>
            <w:tcW w:w="4528" w:type="dxa"/>
            <w:vAlign w:val="center"/>
          </w:tcPr>
          <w:p w14:paraId="78DF61F1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Monitor herd health.</w:t>
            </w:r>
          </w:p>
          <w:p w14:paraId="78DF61F2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Notify people who have received animals of a higher risk than first thought/advised.</w:t>
            </w:r>
          </w:p>
        </w:tc>
        <w:sdt>
          <w:sdtPr>
            <w:rPr>
              <w:color w:val="46515B" w:themeColor="accent1"/>
              <w:sz w:val="40"/>
              <w:szCs w:val="64"/>
            </w:rPr>
            <w:id w:val="-182071519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74" w:type="dxa"/>
                <w:vAlign w:val="center"/>
              </w:tcPr>
              <w:p w14:paraId="78DF61F3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207697189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23" w:type="dxa"/>
                <w:vAlign w:val="center"/>
              </w:tcPr>
              <w:p w14:paraId="78DF61F4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138398425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8DF61F5" w14:textId="77777777" w:rsidR="00C75750" w:rsidRPr="00AB6F31" w:rsidRDefault="00C75750" w:rsidP="00C75750">
                <w:pPr>
                  <w:jc w:val="center"/>
                  <w:rPr>
                    <w:color w:val="46515B" w:themeColor="accent1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</w:tr>
      <w:tr w:rsidR="00C75750" w14:paraId="78DF61FF" w14:textId="77777777" w:rsidTr="0068548C">
        <w:trPr>
          <w:trHeight w:val="454"/>
        </w:trPr>
        <w:tc>
          <w:tcPr>
            <w:tcW w:w="4531" w:type="dxa"/>
            <w:vAlign w:val="center"/>
          </w:tcPr>
          <w:p w14:paraId="78DF61F7" w14:textId="4CAD76D9" w:rsidR="00C75750" w:rsidRPr="004D7308" w:rsidRDefault="00C75750" w:rsidP="002D28C9">
            <w:pPr>
              <w:pStyle w:val="TableParagraph"/>
              <w:rPr>
                <w:sz w:val="20"/>
                <w:szCs w:val="20"/>
              </w:rPr>
            </w:pPr>
            <w:r w:rsidRPr="004D7308">
              <w:rPr>
                <w:sz w:val="20"/>
                <w:szCs w:val="20"/>
              </w:rPr>
              <w:t>Only for J-BAS 7 and 8 – Has there been vet oversight in the development of this biosecurity plan?</w:t>
            </w:r>
          </w:p>
        </w:tc>
        <w:tc>
          <w:tcPr>
            <w:tcW w:w="3686" w:type="dxa"/>
            <w:vAlign w:val="center"/>
          </w:tcPr>
          <w:p w14:paraId="78DF61F8" w14:textId="77777777" w:rsidR="00C75750" w:rsidRPr="004D7308" w:rsidRDefault="002D28C9" w:rsidP="0068548C">
            <w:pPr>
              <w:pStyle w:val="ListParagraph"/>
              <w:rPr>
                <w:sz w:val="20"/>
              </w:rPr>
            </w:pPr>
            <w:hyperlink r:id="rId17">
              <w:r w:rsidR="00C75750" w:rsidRPr="004D7308">
                <w:rPr>
                  <w:sz w:val="20"/>
                  <w:u w:color="0562C1"/>
                </w:rPr>
                <w:t>Johne’s Disease in Cattle</w:t>
              </w:r>
            </w:hyperlink>
          </w:p>
          <w:p w14:paraId="78DF61F9" w14:textId="77777777" w:rsidR="00C75750" w:rsidRPr="004D7308" w:rsidRDefault="002D28C9" w:rsidP="0068548C">
            <w:pPr>
              <w:pStyle w:val="ListParagraph"/>
              <w:rPr>
                <w:sz w:val="20"/>
              </w:rPr>
            </w:pPr>
            <w:hyperlink r:id="rId18">
              <w:r w:rsidR="00C75750" w:rsidRPr="004D7308">
                <w:rPr>
                  <w:sz w:val="20"/>
                  <w:u w:color="0562C1"/>
                </w:rPr>
                <w:t>Definitions and Guidelines</w:t>
              </w:r>
            </w:hyperlink>
          </w:p>
          <w:p w14:paraId="78DF61FA" w14:textId="77777777" w:rsidR="00C75750" w:rsidRPr="004D7308" w:rsidRDefault="002D28C9" w:rsidP="0068548C">
            <w:pPr>
              <w:pStyle w:val="ListParagraph"/>
              <w:rPr>
                <w:sz w:val="20"/>
              </w:rPr>
            </w:pPr>
            <w:hyperlink r:id="rId19">
              <w:r w:rsidR="00C75750" w:rsidRPr="004D7308">
                <w:rPr>
                  <w:sz w:val="20"/>
                  <w:u w:color="094AB4"/>
                </w:rPr>
                <w:t>J-BAS Chart</w:t>
              </w:r>
            </w:hyperlink>
          </w:p>
        </w:tc>
        <w:tc>
          <w:tcPr>
            <w:tcW w:w="4528" w:type="dxa"/>
            <w:vAlign w:val="center"/>
          </w:tcPr>
          <w:p w14:paraId="78DF61FB" w14:textId="77777777" w:rsidR="00C75750" w:rsidRPr="004D7308" w:rsidRDefault="00C75750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Engage with veterinarian regarding oversight of biosecurity plan and triennial Check Tests.</w:t>
            </w:r>
          </w:p>
        </w:tc>
        <w:sdt>
          <w:sdtPr>
            <w:rPr>
              <w:color w:val="46515B" w:themeColor="accent1"/>
              <w:sz w:val="40"/>
              <w:szCs w:val="64"/>
            </w:rPr>
            <w:id w:val="-78811922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74" w:type="dxa"/>
                <w:vAlign w:val="center"/>
              </w:tcPr>
              <w:p w14:paraId="78DF61FC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79567030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23" w:type="dxa"/>
                <w:vAlign w:val="center"/>
              </w:tcPr>
              <w:p w14:paraId="78DF61FD" w14:textId="77777777" w:rsidR="00C75750" w:rsidRPr="00AB6F31" w:rsidRDefault="00C75750" w:rsidP="00C75750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51789820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8DF61FE" w14:textId="77777777" w:rsidR="00C75750" w:rsidRPr="00AB6F31" w:rsidRDefault="00C75750" w:rsidP="00C75750">
                <w:pPr>
                  <w:jc w:val="center"/>
                  <w:rPr>
                    <w:color w:val="46515B" w:themeColor="accent1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</w:tr>
      <w:tr w:rsidR="0068548C" w14:paraId="78DF6208" w14:textId="77777777" w:rsidTr="0068548C">
        <w:trPr>
          <w:trHeight w:val="20"/>
        </w:trPr>
        <w:tc>
          <w:tcPr>
            <w:tcW w:w="4531" w:type="dxa"/>
            <w:vAlign w:val="center"/>
          </w:tcPr>
          <w:p w14:paraId="78DF6200" w14:textId="77777777" w:rsidR="0068548C" w:rsidRPr="004D7308" w:rsidRDefault="0068548C" w:rsidP="0068548C">
            <w:pPr>
              <w:pStyle w:val="TableParagraph"/>
              <w:rPr>
                <w:sz w:val="20"/>
                <w:szCs w:val="20"/>
              </w:rPr>
            </w:pPr>
            <w:r w:rsidRPr="004D7308">
              <w:rPr>
                <w:sz w:val="20"/>
                <w:szCs w:val="20"/>
              </w:rPr>
              <w:lastRenderedPageBreak/>
              <w:t>Only for J-BAS 7 and 8 – Has a triennial Check Test been completed with negative results (or Sample Test if progressing to a higher J-BAS level)?</w:t>
            </w:r>
          </w:p>
        </w:tc>
        <w:tc>
          <w:tcPr>
            <w:tcW w:w="3686" w:type="dxa"/>
            <w:vAlign w:val="center"/>
          </w:tcPr>
          <w:p w14:paraId="78DF6201" w14:textId="77777777" w:rsidR="0068548C" w:rsidRPr="004D7308" w:rsidRDefault="002D28C9" w:rsidP="0068548C">
            <w:pPr>
              <w:pStyle w:val="ListParagraph"/>
              <w:rPr>
                <w:sz w:val="20"/>
              </w:rPr>
            </w:pPr>
            <w:hyperlink r:id="rId20">
              <w:r w:rsidR="0068548C" w:rsidRPr="004D7308">
                <w:rPr>
                  <w:sz w:val="20"/>
                  <w:u w:color="0562C1"/>
                </w:rPr>
                <w:t>Johne’s Disease in Cattle</w:t>
              </w:r>
            </w:hyperlink>
          </w:p>
          <w:p w14:paraId="78DF6202" w14:textId="77777777" w:rsidR="0068548C" w:rsidRPr="004D7308" w:rsidRDefault="002D28C9" w:rsidP="0068548C">
            <w:pPr>
              <w:pStyle w:val="ListParagraph"/>
              <w:rPr>
                <w:sz w:val="20"/>
              </w:rPr>
            </w:pPr>
            <w:hyperlink r:id="rId21">
              <w:r w:rsidR="0068548C" w:rsidRPr="004D7308">
                <w:rPr>
                  <w:sz w:val="20"/>
                  <w:u w:color="0562C1"/>
                </w:rPr>
                <w:t>Definitions and Guidelines</w:t>
              </w:r>
            </w:hyperlink>
          </w:p>
          <w:p w14:paraId="78DF6203" w14:textId="77777777" w:rsidR="0068548C" w:rsidRPr="004D7308" w:rsidRDefault="0068548C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Laboratory Results</w:t>
            </w:r>
          </w:p>
        </w:tc>
        <w:tc>
          <w:tcPr>
            <w:tcW w:w="4528" w:type="dxa"/>
            <w:vAlign w:val="center"/>
          </w:tcPr>
          <w:p w14:paraId="78DF6204" w14:textId="77777777" w:rsidR="0068548C" w:rsidRPr="004D7308" w:rsidRDefault="0068548C" w:rsidP="0068548C">
            <w:pPr>
              <w:pStyle w:val="ListParagraph"/>
              <w:rPr>
                <w:sz w:val="20"/>
              </w:rPr>
            </w:pPr>
            <w:r w:rsidRPr="004D7308">
              <w:rPr>
                <w:sz w:val="20"/>
              </w:rPr>
              <w:t>Triennial Check Test. Record laboratory results and manage property based on outcomes.</w:t>
            </w:r>
          </w:p>
        </w:tc>
        <w:sdt>
          <w:sdtPr>
            <w:rPr>
              <w:color w:val="46515B" w:themeColor="accent1"/>
              <w:sz w:val="40"/>
              <w:szCs w:val="64"/>
            </w:rPr>
            <w:id w:val="161647835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774" w:type="dxa"/>
                <w:vAlign w:val="center"/>
              </w:tcPr>
              <w:p w14:paraId="78DF6205" w14:textId="77777777" w:rsidR="0068548C" w:rsidRPr="00AB6F31" w:rsidRDefault="0068548C" w:rsidP="0068548C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-201460490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23" w:type="dxa"/>
                <w:vAlign w:val="center"/>
              </w:tcPr>
              <w:p w14:paraId="78DF6206" w14:textId="77777777" w:rsidR="0068548C" w:rsidRPr="00AB6F31" w:rsidRDefault="0068548C" w:rsidP="0068548C">
                <w:pPr>
                  <w:contextualSpacing/>
                  <w:jc w:val="center"/>
                  <w:rPr>
                    <w:color w:val="46515B" w:themeColor="accent1"/>
                    <w:sz w:val="40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  <w:sdt>
          <w:sdtPr>
            <w:rPr>
              <w:color w:val="46515B" w:themeColor="accent1"/>
              <w:sz w:val="40"/>
              <w:szCs w:val="64"/>
            </w:rPr>
            <w:id w:val="208479677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8DF6207" w14:textId="77777777" w:rsidR="0068548C" w:rsidRPr="00AB6F31" w:rsidRDefault="0068548C" w:rsidP="0068548C">
                <w:pPr>
                  <w:jc w:val="center"/>
                  <w:rPr>
                    <w:color w:val="46515B" w:themeColor="accent1"/>
                  </w:rPr>
                </w:pPr>
                <w:r w:rsidRPr="00AB6F31">
                  <w:rPr>
                    <w:color w:val="46515B" w:themeColor="accent1"/>
                    <w:sz w:val="40"/>
                    <w:szCs w:val="64"/>
                  </w:rPr>
                  <w:sym w:font="Wingdings" w:char="F0A8"/>
                </w:r>
              </w:p>
            </w:tc>
          </w:sdtContent>
        </w:sdt>
      </w:tr>
    </w:tbl>
    <w:p w14:paraId="78DF6209" w14:textId="77777777" w:rsidR="008B4DFD" w:rsidRDefault="008B4DFD">
      <w:pPr>
        <w:spacing w:after="160" w:line="259" w:lineRule="auto"/>
      </w:pPr>
    </w:p>
    <w:p w14:paraId="78DF620A" w14:textId="77777777" w:rsidR="0068548C" w:rsidRPr="00C23DDB" w:rsidRDefault="0068548C" w:rsidP="0068548C">
      <w:pPr>
        <w:pStyle w:val="Heading5"/>
        <w:jc w:val="center"/>
      </w:pPr>
      <w:r w:rsidRPr="00C23DDB">
        <w:t xml:space="preserve">Veterinary sign-off is required for J-BAS score 7 &amp; 8 only and can be completed on the front page of </w:t>
      </w:r>
      <w:r>
        <w:t>Your</w:t>
      </w:r>
      <w:r w:rsidRPr="00C23DDB">
        <w:t xml:space="preserve"> planning document</w:t>
      </w:r>
    </w:p>
    <w:p w14:paraId="78DF620B" w14:textId="77777777" w:rsidR="0068548C" w:rsidRDefault="0068548C">
      <w:pPr>
        <w:spacing w:after="160" w:line="259" w:lineRule="auto"/>
      </w:pPr>
    </w:p>
    <w:sectPr w:rsidR="0068548C" w:rsidSect="007222AD">
      <w:headerReference w:type="default" r:id="rId22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F620E" w14:textId="77777777" w:rsidR="00C20ABD" w:rsidRDefault="00C20ABD" w:rsidP="00AB59B7">
      <w:pPr>
        <w:spacing w:line="240" w:lineRule="auto"/>
      </w:pPr>
      <w:r>
        <w:separator/>
      </w:r>
    </w:p>
  </w:endnote>
  <w:endnote w:type="continuationSeparator" w:id="0">
    <w:p w14:paraId="78DF620F" w14:textId="77777777" w:rsidR="00C20ABD" w:rsidRDefault="00C20ABD" w:rsidP="00AB5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F620C" w14:textId="77777777" w:rsidR="00C20ABD" w:rsidRDefault="00C20ABD" w:rsidP="00AB59B7">
      <w:pPr>
        <w:spacing w:line="240" w:lineRule="auto"/>
      </w:pPr>
      <w:r>
        <w:separator/>
      </w:r>
    </w:p>
  </w:footnote>
  <w:footnote w:type="continuationSeparator" w:id="0">
    <w:p w14:paraId="78DF620D" w14:textId="77777777" w:rsidR="00C20ABD" w:rsidRDefault="00C20ABD" w:rsidP="00AB5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F6210" w14:textId="77777777" w:rsidR="00C20ABD" w:rsidRDefault="00C20ABD" w:rsidP="002A46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01E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D0B0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0304BB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1B0A1C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D07BB1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181966"/>
    <w:multiLevelType w:val="hybridMultilevel"/>
    <w:tmpl w:val="05C0F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73DC5"/>
    <w:multiLevelType w:val="hybridMultilevel"/>
    <w:tmpl w:val="BB8A2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732E"/>
    <w:multiLevelType w:val="hybridMultilevel"/>
    <w:tmpl w:val="E6AE5F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66B83"/>
    <w:multiLevelType w:val="hybridMultilevel"/>
    <w:tmpl w:val="A41EAD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E65FF"/>
    <w:multiLevelType w:val="hybridMultilevel"/>
    <w:tmpl w:val="96E67B1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F802CD6">
      <w:numFmt w:val="bullet"/>
      <w:lvlText w:val="•"/>
      <w:lvlJc w:val="left"/>
      <w:pPr>
        <w:ind w:left="1004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FB297B"/>
    <w:multiLevelType w:val="hybridMultilevel"/>
    <w:tmpl w:val="DE8ADB32"/>
    <w:lvl w:ilvl="0" w:tplc="DBEC7D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C66EA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1D61C5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823B31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D017C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92D4BBF"/>
    <w:multiLevelType w:val="hybridMultilevel"/>
    <w:tmpl w:val="8F286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509BB"/>
    <w:multiLevelType w:val="multilevel"/>
    <w:tmpl w:val="F9EEDF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4F0815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B78611F"/>
    <w:multiLevelType w:val="hybridMultilevel"/>
    <w:tmpl w:val="C0029D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72BB3"/>
    <w:multiLevelType w:val="multilevel"/>
    <w:tmpl w:val="470864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E95FC6"/>
    <w:multiLevelType w:val="hybridMultilevel"/>
    <w:tmpl w:val="1410FA16"/>
    <w:lvl w:ilvl="0" w:tplc="0F4E77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233BCF"/>
    <w:multiLevelType w:val="multilevel"/>
    <w:tmpl w:val="15247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B586AFC"/>
    <w:multiLevelType w:val="multilevel"/>
    <w:tmpl w:val="C9F422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1067F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2F7A1B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11175E2"/>
    <w:multiLevelType w:val="hybridMultilevel"/>
    <w:tmpl w:val="7D662F3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3768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89133F0"/>
    <w:multiLevelType w:val="multilevel"/>
    <w:tmpl w:val="F06E3C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9044FDE"/>
    <w:multiLevelType w:val="hybridMultilevel"/>
    <w:tmpl w:val="95A08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521E8"/>
    <w:multiLevelType w:val="multilevel"/>
    <w:tmpl w:val="F9EEDF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D1D2160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E1C5EC8"/>
    <w:multiLevelType w:val="multilevel"/>
    <w:tmpl w:val="D49AB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5544045"/>
    <w:multiLevelType w:val="multilevel"/>
    <w:tmpl w:val="C9F422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8AE5B2E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1840EB"/>
    <w:multiLevelType w:val="hybridMultilevel"/>
    <w:tmpl w:val="7A6E2EFC"/>
    <w:lvl w:ilvl="0" w:tplc="EFB6E3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41BFC"/>
    <w:multiLevelType w:val="hybridMultilevel"/>
    <w:tmpl w:val="0214F914"/>
    <w:lvl w:ilvl="0" w:tplc="07581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91BE2"/>
    <w:multiLevelType w:val="hybridMultilevel"/>
    <w:tmpl w:val="25188EE2"/>
    <w:lvl w:ilvl="0" w:tplc="0F4E77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A3E0D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7933682"/>
    <w:multiLevelType w:val="multilevel"/>
    <w:tmpl w:val="D49AB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97F7172"/>
    <w:multiLevelType w:val="hybridMultilevel"/>
    <w:tmpl w:val="D2D005A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000CAF"/>
    <w:multiLevelType w:val="multilevel"/>
    <w:tmpl w:val="6F36D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DA820DC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9087F2E"/>
    <w:multiLevelType w:val="hybridMultilevel"/>
    <w:tmpl w:val="C46033C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77247A"/>
    <w:multiLevelType w:val="hybridMultilevel"/>
    <w:tmpl w:val="212C1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D4EBE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E2C3F5A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F081D41"/>
    <w:multiLevelType w:val="hybridMultilevel"/>
    <w:tmpl w:val="E0026D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43"/>
  </w:num>
  <w:num w:numId="4">
    <w:abstractNumId w:val="8"/>
  </w:num>
  <w:num w:numId="5">
    <w:abstractNumId w:val="42"/>
  </w:num>
  <w:num w:numId="6">
    <w:abstractNumId w:val="39"/>
  </w:num>
  <w:num w:numId="7">
    <w:abstractNumId w:val="7"/>
  </w:num>
  <w:num w:numId="8">
    <w:abstractNumId w:val="5"/>
  </w:num>
  <w:num w:numId="9">
    <w:abstractNumId w:val="29"/>
  </w:num>
  <w:num w:numId="10">
    <w:abstractNumId w:val="16"/>
  </w:num>
  <w:num w:numId="11">
    <w:abstractNumId w:val="40"/>
  </w:num>
  <w:num w:numId="12">
    <w:abstractNumId w:val="21"/>
  </w:num>
  <w:num w:numId="13">
    <w:abstractNumId w:val="19"/>
  </w:num>
  <w:num w:numId="14">
    <w:abstractNumId w:val="27"/>
  </w:num>
  <w:num w:numId="15">
    <w:abstractNumId w:val="23"/>
  </w:num>
  <w:num w:numId="16">
    <w:abstractNumId w:val="1"/>
  </w:num>
  <w:num w:numId="17">
    <w:abstractNumId w:val="33"/>
  </w:num>
  <w:num w:numId="18">
    <w:abstractNumId w:val="37"/>
  </w:num>
  <w:num w:numId="19">
    <w:abstractNumId w:val="4"/>
  </w:num>
  <w:num w:numId="20">
    <w:abstractNumId w:val="14"/>
  </w:num>
  <w:num w:numId="21">
    <w:abstractNumId w:val="45"/>
  </w:num>
  <w:num w:numId="22">
    <w:abstractNumId w:val="41"/>
  </w:num>
  <w:num w:numId="23">
    <w:abstractNumId w:val="26"/>
  </w:num>
  <w:num w:numId="24">
    <w:abstractNumId w:val="24"/>
  </w:num>
  <w:num w:numId="25">
    <w:abstractNumId w:val="22"/>
  </w:num>
  <w:num w:numId="26">
    <w:abstractNumId w:val="32"/>
  </w:num>
  <w:num w:numId="27">
    <w:abstractNumId w:val="31"/>
  </w:num>
  <w:num w:numId="28">
    <w:abstractNumId w:val="38"/>
  </w:num>
  <w:num w:numId="29">
    <w:abstractNumId w:val="30"/>
  </w:num>
  <w:num w:numId="30">
    <w:abstractNumId w:val="0"/>
  </w:num>
  <w:num w:numId="31">
    <w:abstractNumId w:val="17"/>
  </w:num>
  <w:num w:numId="32">
    <w:abstractNumId w:val="13"/>
  </w:num>
  <w:num w:numId="33">
    <w:abstractNumId w:val="44"/>
  </w:num>
  <w:num w:numId="34">
    <w:abstractNumId w:val="12"/>
  </w:num>
  <w:num w:numId="35">
    <w:abstractNumId w:val="6"/>
  </w:num>
  <w:num w:numId="36">
    <w:abstractNumId w:val="36"/>
  </w:num>
  <w:num w:numId="37">
    <w:abstractNumId w:val="20"/>
  </w:num>
  <w:num w:numId="38">
    <w:abstractNumId w:val="46"/>
  </w:num>
  <w:num w:numId="39">
    <w:abstractNumId w:val="9"/>
  </w:num>
  <w:num w:numId="40">
    <w:abstractNumId w:val="34"/>
  </w:num>
  <w:num w:numId="41">
    <w:abstractNumId w:val="3"/>
  </w:num>
  <w:num w:numId="42">
    <w:abstractNumId w:val="11"/>
  </w:num>
  <w:num w:numId="43">
    <w:abstractNumId w:val="15"/>
  </w:num>
  <w:num w:numId="44">
    <w:abstractNumId w:val="18"/>
  </w:num>
  <w:num w:numId="45">
    <w:abstractNumId w:val="35"/>
  </w:num>
  <w:num w:numId="46">
    <w:abstractNumId w:val="10"/>
  </w:num>
  <w:num w:numId="47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2"/>
    <w:rsid w:val="00003DE9"/>
    <w:rsid w:val="000048E6"/>
    <w:rsid w:val="00011809"/>
    <w:rsid w:val="000178A0"/>
    <w:rsid w:val="000349EA"/>
    <w:rsid w:val="00091146"/>
    <w:rsid w:val="000B0073"/>
    <w:rsid w:val="00142F39"/>
    <w:rsid w:val="001A5D54"/>
    <w:rsid w:val="00221656"/>
    <w:rsid w:val="002A463A"/>
    <w:rsid w:val="002D28C9"/>
    <w:rsid w:val="002F48B9"/>
    <w:rsid w:val="00393E55"/>
    <w:rsid w:val="003D4B10"/>
    <w:rsid w:val="004438B2"/>
    <w:rsid w:val="0045651F"/>
    <w:rsid w:val="00460936"/>
    <w:rsid w:val="0047132B"/>
    <w:rsid w:val="00480D88"/>
    <w:rsid w:val="00493725"/>
    <w:rsid w:val="004A0FAC"/>
    <w:rsid w:val="004D7308"/>
    <w:rsid w:val="00525866"/>
    <w:rsid w:val="00532837"/>
    <w:rsid w:val="0055259E"/>
    <w:rsid w:val="005915B4"/>
    <w:rsid w:val="005B5148"/>
    <w:rsid w:val="005E02DD"/>
    <w:rsid w:val="00604E22"/>
    <w:rsid w:val="00641C59"/>
    <w:rsid w:val="00642553"/>
    <w:rsid w:val="00667758"/>
    <w:rsid w:val="00671C70"/>
    <w:rsid w:val="00680C6D"/>
    <w:rsid w:val="0068548C"/>
    <w:rsid w:val="00696D99"/>
    <w:rsid w:val="006D61A3"/>
    <w:rsid w:val="007222AD"/>
    <w:rsid w:val="007450CA"/>
    <w:rsid w:val="007A2242"/>
    <w:rsid w:val="007A33C9"/>
    <w:rsid w:val="00822BC6"/>
    <w:rsid w:val="00826023"/>
    <w:rsid w:val="00836DEE"/>
    <w:rsid w:val="008536AB"/>
    <w:rsid w:val="008B4DFD"/>
    <w:rsid w:val="008E1179"/>
    <w:rsid w:val="00927E2F"/>
    <w:rsid w:val="0094763A"/>
    <w:rsid w:val="0098142C"/>
    <w:rsid w:val="009B4522"/>
    <w:rsid w:val="00A41D17"/>
    <w:rsid w:val="00A47144"/>
    <w:rsid w:val="00A7254C"/>
    <w:rsid w:val="00AA0694"/>
    <w:rsid w:val="00AB59B7"/>
    <w:rsid w:val="00AB6F31"/>
    <w:rsid w:val="00AF15F6"/>
    <w:rsid w:val="00B54714"/>
    <w:rsid w:val="00B56EB4"/>
    <w:rsid w:val="00B644EA"/>
    <w:rsid w:val="00B91BE2"/>
    <w:rsid w:val="00C20ABD"/>
    <w:rsid w:val="00C30307"/>
    <w:rsid w:val="00C34DC6"/>
    <w:rsid w:val="00C51E5C"/>
    <w:rsid w:val="00C75750"/>
    <w:rsid w:val="00CC5AAC"/>
    <w:rsid w:val="00CC690D"/>
    <w:rsid w:val="00CE60AD"/>
    <w:rsid w:val="00D0131C"/>
    <w:rsid w:val="00D50DBB"/>
    <w:rsid w:val="00D90E34"/>
    <w:rsid w:val="00D96CAC"/>
    <w:rsid w:val="00D97423"/>
    <w:rsid w:val="00DC3D89"/>
    <w:rsid w:val="00E12F4B"/>
    <w:rsid w:val="00E13243"/>
    <w:rsid w:val="00E674DF"/>
    <w:rsid w:val="00EA11BE"/>
    <w:rsid w:val="00ED40C0"/>
    <w:rsid w:val="00EF7F0B"/>
    <w:rsid w:val="00F129EC"/>
    <w:rsid w:val="00F245F0"/>
    <w:rsid w:val="00F25E5E"/>
    <w:rsid w:val="00F37A24"/>
    <w:rsid w:val="00F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DF61C5"/>
  <w15:chartTrackingRefBased/>
  <w15:docId w15:val="{C7BAD6B0-89D1-4710-B8B0-1DA5600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EC"/>
    <w:pPr>
      <w:spacing w:after="0" w:line="264" w:lineRule="auto"/>
    </w:pPr>
  </w:style>
  <w:style w:type="paragraph" w:styleId="Heading1">
    <w:name w:val="heading 1"/>
    <w:basedOn w:val="Normal"/>
    <w:link w:val="Heading1Char"/>
    <w:uiPriority w:val="1"/>
    <w:qFormat/>
    <w:rsid w:val="00671C70"/>
    <w:pPr>
      <w:widowControl w:val="0"/>
      <w:spacing w:afterLines="100" w:after="100" w:line="240" w:lineRule="auto"/>
      <w:outlineLvl w:val="0"/>
    </w:pPr>
    <w:rPr>
      <w:rFonts w:eastAsia="Calibri" w:cstheme="minorHAnsi"/>
      <w:b/>
      <w:caps/>
      <w:color w:val="46515B" w:themeColor="accen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C70"/>
    <w:pPr>
      <w:keepNext/>
      <w:keepLines/>
      <w:spacing w:afterLines="100" w:after="100"/>
      <w:outlineLvl w:val="1"/>
    </w:pPr>
    <w:rPr>
      <w:rFonts w:eastAsiaTheme="majorEastAsia" w:cstheme="majorBidi"/>
      <w:b/>
      <w:caps/>
      <w:color w:val="46515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C70"/>
    <w:pPr>
      <w:keepNext/>
      <w:keepLines/>
      <w:spacing w:afterLines="100" w:after="100"/>
      <w:outlineLvl w:val="2"/>
    </w:pPr>
    <w:rPr>
      <w:rFonts w:asciiTheme="majorHAnsi" w:eastAsiaTheme="majorEastAsia" w:hAnsiTheme="majorHAnsi" w:cstheme="majorBidi"/>
      <w:b/>
      <w:color w:val="65C1E3" w:themeColor="accent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C70"/>
    <w:pPr>
      <w:keepNext/>
      <w:keepLines/>
      <w:spacing w:afterLines="100" w:after="100"/>
      <w:outlineLvl w:val="3"/>
    </w:pPr>
    <w:rPr>
      <w:rFonts w:asciiTheme="majorHAnsi" w:eastAsiaTheme="majorEastAsia" w:hAnsiTheme="majorHAnsi" w:cstheme="majorBidi"/>
      <w:b/>
      <w:i/>
      <w:iCs/>
      <w:color w:val="65C1E3" w:themeColor="accent3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DD"/>
    <w:pPr>
      <w:keepNext/>
      <w:keepLines/>
      <w:outlineLvl w:val="4"/>
    </w:pPr>
    <w:rPr>
      <w:rFonts w:eastAsiaTheme="majorEastAsia" w:cstheme="majorBidi"/>
      <w:b/>
      <w:caps/>
      <w:color w:val="46515B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1C70"/>
    <w:rPr>
      <w:rFonts w:eastAsia="Calibri" w:cstheme="minorHAnsi"/>
      <w:b/>
      <w:caps/>
      <w:color w:val="46515B" w:themeColor="accent1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836DEE"/>
    <w:pPr>
      <w:widowControl w:val="0"/>
      <w:numPr>
        <w:numId w:val="46"/>
      </w:numPr>
      <w:spacing w:before="40" w:after="40" w:line="240" w:lineRule="auto"/>
      <w:ind w:right="284"/>
      <w:contextualSpacing/>
    </w:pPr>
    <w:rPr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6DEE"/>
    <w:rPr>
      <w:szCs w:val="20"/>
      <w:lang w:val="en-US"/>
    </w:rPr>
  </w:style>
  <w:style w:type="paragraph" w:customStyle="1" w:styleId="H4">
    <w:name w:val="H4"/>
    <w:basedOn w:val="Normal"/>
    <w:link w:val="H4Char"/>
    <w:qFormat/>
    <w:rsid w:val="00F129EC"/>
    <w:rPr>
      <w:rFonts w:cstheme="minorHAns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671C70"/>
    <w:rPr>
      <w:rFonts w:eastAsiaTheme="majorEastAsia" w:cstheme="majorBidi"/>
      <w:b/>
      <w:caps/>
      <w:color w:val="46515B" w:themeColor="accent1"/>
      <w:sz w:val="24"/>
      <w:szCs w:val="26"/>
    </w:rPr>
  </w:style>
  <w:style w:type="character" w:customStyle="1" w:styleId="H4Char">
    <w:name w:val="H4 Char"/>
    <w:basedOn w:val="DefaultParagraphFont"/>
    <w:link w:val="H4"/>
    <w:rsid w:val="00F129EC"/>
    <w:rPr>
      <w:rFonts w:cstheme="minorHAnsi"/>
      <w:b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671C70"/>
    <w:rPr>
      <w:rFonts w:asciiTheme="majorHAnsi" w:eastAsiaTheme="majorEastAsia" w:hAnsiTheme="majorHAnsi" w:cstheme="majorBidi"/>
      <w:b/>
      <w:color w:val="65C1E3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1C70"/>
    <w:rPr>
      <w:rFonts w:asciiTheme="majorHAnsi" w:eastAsiaTheme="majorEastAsia" w:hAnsiTheme="majorHAnsi" w:cstheme="majorBidi"/>
      <w:b/>
      <w:i/>
      <w:iCs/>
      <w:color w:val="65C1E3" w:themeColor="accent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2B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E02DD"/>
    <w:rPr>
      <w:rFonts w:eastAsiaTheme="majorEastAsia" w:cstheme="majorBidi"/>
      <w:b/>
      <w:caps/>
      <w:color w:val="46515B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0F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6D61A3"/>
    <w:pPr>
      <w:keepNext/>
      <w:keepLines/>
      <w:widowControl/>
      <w:spacing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43C43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AAC"/>
    <w:pPr>
      <w:tabs>
        <w:tab w:val="left" w:pos="440"/>
        <w:tab w:val="righ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61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D61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D61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9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B7"/>
  </w:style>
  <w:style w:type="paragraph" w:styleId="Footer">
    <w:name w:val="footer"/>
    <w:basedOn w:val="Normal"/>
    <w:link w:val="FooterChar"/>
    <w:uiPriority w:val="99"/>
    <w:unhideWhenUsed/>
    <w:rsid w:val="00AB59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B7"/>
  </w:style>
  <w:style w:type="table" w:styleId="TableGrid">
    <w:name w:val="Table Grid"/>
    <w:basedOn w:val="TableNormal"/>
    <w:uiPriority w:val="39"/>
    <w:rsid w:val="0000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autoRedefine/>
    <w:uiPriority w:val="1"/>
    <w:qFormat/>
    <w:rsid w:val="0068548C"/>
    <w:rPr>
      <w:rFonts w:cs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nimalhealthaustralia.com.au/wp-content/uploads/2016/07/Biosecurity-Plan-Checklist-for-JD-in-cattle_final.pdf" TargetMode="External"/><Relationship Id="rId18" Type="http://schemas.openxmlformats.org/officeDocument/2006/relationships/hyperlink" Target="https://www.animalhealthaustralia.com.au/wp-content/uploads/2016/07/JD-in-cattle-definitions-and-guidelines_final_Apr-201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nimalhealthaustralia.com.au/wp-content/uploads/2016/07/JD-in-cattle-definitions-and-guidelines_final_Apr-2017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nimalhealthaustralia.com.au/wp-content/uploads/2016/07/Biosecurity-Plan-Checklist-for-JD-in-cattle_final.pdf" TargetMode="External"/><Relationship Id="rId17" Type="http://schemas.openxmlformats.org/officeDocument/2006/relationships/hyperlink" Target="https://www.animalhealthaustralia.com.au/wp-content/uploads/2016/07/JD-in-cattle-definitions-and-guidelines_final_Apr-20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rmbiosecurity.com.au/toolkit/declarations-and-statements/" TargetMode="External"/><Relationship Id="rId20" Type="http://schemas.openxmlformats.org/officeDocument/2006/relationships/hyperlink" Target="https://www.animalhealthaustralia.com.au/wp-content/uploads/2016/07/JD-in-cattle-definitions-and-guidelines_final_Apr-2017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imalhealthaustralia.com.au/wp-content/uploads/2016/07/J-BAS_April-2017-2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nimalhealthaustralia.com.au/jd-cattle-tool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nimalhealthaustralia.com.au/wp-content/uploads/2016/07/J-BAS_final_Aug_2016-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rmbiosecurity.com.au/toolkit/records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515B"/>
      </a:accent1>
      <a:accent2>
        <a:srgbClr val="ABA7A7"/>
      </a:accent2>
      <a:accent3>
        <a:srgbClr val="65C1E3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BB44446ADF348BFEC4047B47AAD0F" ma:contentTypeVersion="0" ma:contentTypeDescription="Create a new document." ma:contentTypeScope="" ma:versionID="79525117ff6c74c38c003fca27b40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1A86-2B76-41F8-937B-8DBE02A5A30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E0EA03-65CE-41DE-BF6A-3B62B4D00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63E6D-8CF2-4C9B-840F-1568DDE73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284700-2200-4572-B26F-22F74068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Australia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Diessel</dc:creator>
  <cp:keywords/>
  <dc:description/>
  <cp:lastModifiedBy>Ryan Diessel</cp:lastModifiedBy>
  <cp:revision>6</cp:revision>
  <cp:lastPrinted>2019-09-11T00:24:00Z</cp:lastPrinted>
  <dcterms:created xsi:type="dcterms:W3CDTF">2019-09-11T06:25:00Z</dcterms:created>
  <dcterms:modified xsi:type="dcterms:W3CDTF">2019-10-03T04:17:00Z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0x010100FC2BB44446ADF348BFEC4047B47AAD0F</vt:lpwstr>
  </property>
</Properties>
</file>